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08E" w:rsidRPr="008B40A8" w:rsidRDefault="00FD02CE" w:rsidP="00D059B8">
      <w:pPr>
        <w:shd w:val="clear" w:color="auto" w:fill="FFFFFF"/>
        <w:spacing w:after="0"/>
        <w:rPr>
          <w:b/>
          <w:sz w:val="28"/>
          <w:szCs w:val="28"/>
          <w:lang w:val="en-US"/>
        </w:rPr>
      </w:pPr>
      <w:r w:rsidRPr="0019257D">
        <w:rPr>
          <w:b/>
          <w:bCs/>
          <w:sz w:val="28"/>
          <w:szCs w:val="28"/>
          <w:lang w:val="en-GB"/>
        </w:rPr>
        <w:t xml:space="preserve">Safety regulations for performance of hot work </w:t>
      </w:r>
      <w:r w:rsidR="002F0C55">
        <w:rPr>
          <w:b/>
          <w:bCs/>
          <w:sz w:val="28"/>
          <w:szCs w:val="28"/>
          <w:lang w:val="en-GB"/>
        </w:rPr>
        <w:t xml:space="preserve">– </w:t>
      </w:r>
      <w:r w:rsidRPr="0019257D">
        <w:rPr>
          <w:b/>
          <w:bCs/>
          <w:sz w:val="28"/>
          <w:szCs w:val="28"/>
          <w:lang w:val="en-GB"/>
        </w:rPr>
        <w:t>1 January 2015</w:t>
      </w:r>
    </w:p>
    <w:p w:rsidR="000C3A5E" w:rsidRPr="008B40A8" w:rsidRDefault="00B73DF8" w:rsidP="00C6396A">
      <w:pPr>
        <w:shd w:val="clear" w:color="auto" w:fill="FFFFFF"/>
        <w:spacing w:after="0"/>
        <w:rPr>
          <w:rFonts w:ascii="Calibri" w:eastAsia="Times New Roman" w:hAnsi="Calibri" w:cstheme="majorHAnsi"/>
          <w:color w:val="000000"/>
          <w:sz w:val="24"/>
          <w:szCs w:val="24"/>
          <w:lang w:val="en-US"/>
        </w:rPr>
      </w:pPr>
    </w:p>
    <w:p w:rsidR="00D059B8" w:rsidRPr="00F63DA2" w:rsidRDefault="00FD02CE" w:rsidP="006A408E">
      <w:pPr>
        <w:pStyle w:val="Listeavsnitt"/>
        <w:numPr>
          <w:ilvl w:val="0"/>
          <w:numId w:val="4"/>
        </w:numPr>
        <w:shd w:val="clear" w:color="auto" w:fill="FFFFFF"/>
        <w:spacing w:after="0"/>
        <w:rPr>
          <w:rFonts w:ascii="Calibri" w:eastAsia="Times New Roman" w:hAnsi="Calibri" w:cstheme="majorHAnsi"/>
          <w:color w:val="000000"/>
          <w:sz w:val="24"/>
          <w:szCs w:val="24"/>
        </w:rPr>
      </w:pPr>
      <w:r w:rsidRPr="00F63DA2">
        <w:rPr>
          <w:rFonts w:ascii="Calibri" w:eastAsia="Times New Roman" w:hAnsi="Calibri" w:cstheme="majorHAnsi"/>
          <w:b/>
          <w:bCs/>
          <w:color w:val="000000"/>
          <w:sz w:val="24"/>
          <w:szCs w:val="24"/>
          <w:lang w:val="en-GB"/>
        </w:rPr>
        <w:t>Definition</w:t>
      </w:r>
    </w:p>
    <w:p w:rsidR="006A408E" w:rsidRPr="008B40A8" w:rsidRDefault="00FD02CE" w:rsidP="00F63DA2">
      <w:pPr>
        <w:pStyle w:val="Listeavsnitt"/>
        <w:shd w:val="clear" w:color="auto" w:fill="FFFFFF"/>
        <w:spacing w:after="0"/>
        <w:ind w:left="465"/>
        <w:rPr>
          <w:rFonts w:ascii="Calibri" w:eastAsia="Times New Roman" w:hAnsi="Calibri" w:cstheme="majorHAnsi"/>
          <w:color w:val="000000"/>
          <w:sz w:val="20"/>
          <w:szCs w:val="20"/>
          <w:lang w:val="en-US"/>
        </w:rPr>
      </w:pPr>
      <w:r w:rsidRPr="00F63DA2">
        <w:rPr>
          <w:rFonts w:ascii="Calibri" w:eastAsia="Times New Roman" w:hAnsi="Calibri" w:cstheme="majorHAnsi"/>
          <w:color w:val="000000"/>
          <w:sz w:val="20"/>
          <w:szCs w:val="20"/>
          <w:lang w:val="en-GB"/>
        </w:rPr>
        <w:t>Hot work means work involving the use of machinery and equipment that generate sparks and heat that can cause a fire. Hot work includes the use of naked flames, hot air, and/or welding, cutting or grinding equipment.</w:t>
      </w:r>
    </w:p>
    <w:p w:rsidR="00F63DA2" w:rsidRPr="008B40A8" w:rsidRDefault="00B73DF8" w:rsidP="00F63DA2">
      <w:pPr>
        <w:pStyle w:val="Listeavsnitt"/>
        <w:shd w:val="clear" w:color="auto" w:fill="FFFFFF"/>
        <w:spacing w:after="0"/>
        <w:ind w:left="465"/>
        <w:rPr>
          <w:rFonts w:ascii="Calibri" w:eastAsia="Times New Roman" w:hAnsi="Calibri" w:cstheme="majorHAnsi"/>
          <w:color w:val="000000"/>
          <w:sz w:val="24"/>
          <w:szCs w:val="24"/>
          <w:lang w:val="en-US"/>
        </w:rPr>
      </w:pPr>
    </w:p>
    <w:p w:rsidR="00F63DA2" w:rsidRPr="008B40A8" w:rsidRDefault="00FD02CE" w:rsidP="00F63DA2">
      <w:pPr>
        <w:pStyle w:val="Listeavsnitt"/>
        <w:numPr>
          <w:ilvl w:val="0"/>
          <w:numId w:val="4"/>
        </w:numPr>
        <w:shd w:val="clear" w:color="auto" w:fill="FFFFFF"/>
        <w:spacing w:after="0"/>
        <w:rPr>
          <w:rFonts w:ascii="Calibri" w:eastAsia="Times New Roman" w:hAnsi="Calibri" w:cstheme="majorHAnsi"/>
          <w:color w:val="000000"/>
          <w:sz w:val="24"/>
          <w:szCs w:val="24"/>
          <w:lang w:val="en-US"/>
        </w:rPr>
      </w:pPr>
      <w:r w:rsidRPr="00F63DA2">
        <w:rPr>
          <w:rFonts w:ascii="Calibri" w:eastAsia="Times New Roman" w:hAnsi="Calibri" w:cstheme="majorHAnsi"/>
          <w:b/>
          <w:bCs/>
          <w:color w:val="000000"/>
          <w:sz w:val="24"/>
          <w:szCs w:val="24"/>
          <w:lang w:val="en-GB"/>
        </w:rPr>
        <w:t>Where do these safety regulations apply?</w:t>
      </w:r>
    </w:p>
    <w:p w:rsidR="006A408E" w:rsidRPr="008B40A8" w:rsidRDefault="00FD02CE" w:rsidP="0019257D">
      <w:pPr>
        <w:pStyle w:val="Listeavsnitt"/>
        <w:shd w:val="clear" w:color="auto" w:fill="FFFFFF"/>
        <w:spacing w:after="0"/>
        <w:ind w:left="465"/>
        <w:rPr>
          <w:rFonts w:eastAsia="Times New Roman" w:cs="Arial"/>
          <w:color w:val="000000"/>
          <w:sz w:val="20"/>
          <w:szCs w:val="20"/>
          <w:lang w:val="en-US"/>
        </w:rPr>
      </w:pPr>
      <w:r w:rsidRPr="0019257D">
        <w:rPr>
          <w:rFonts w:eastAsia="Times New Roman" w:cs="Arial"/>
          <w:color w:val="000000"/>
          <w:sz w:val="20"/>
          <w:szCs w:val="20"/>
          <w:lang w:val="en-GB"/>
        </w:rPr>
        <w:t xml:space="preserve">These </w:t>
      </w:r>
      <w:r w:rsidR="003A408B">
        <w:rPr>
          <w:rFonts w:eastAsia="Times New Roman" w:cs="Arial"/>
          <w:color w:val="000000"/>
          <w:sz w:val="20"/>
          <w:szCs w:val="20"/>
          <w:lang w:val="en-GB"/>
        </w:rPr>
        <w:t xml:space="preserve">safety </w:t>
      </w:r>
      <w:r w:rsidRPr="0019257D">
        <w:rPr>
          <w:rFonts w:eastAsia="Times New Roman" w:cs="Arial"/>
          <w:color w:val="000000"/>
          <w:sz w:val="20"/>
          <w:szCs w:val="20"/>
          <w:lang w:val="en-GB"/>
        </w:rPr>
        <w:t>regulations apply to hot work performed in any environment where there is a risk of a fire outbreak.</w:t>
      </w:r>
    </w:p>
    <w:p w:rsidR="0019257D" w:rsidRPr="008B40A8" w:rsidRDefault="00B73DF8" w:rsidP="0019257D">
      <w:pPr>
        <w:pStyle w:val="Listeavsnitt"/>
        <w:shd w:val="clear" w:color="auto" w:fill="FFFFFF"/>
        <w:spacing w:after="0"/>
        <w:ind w:left="465"/>
        <w:rPr>
          <w:rFonts w:eastAsia="Times New Roman" w:cs="Arial"/>
          <w:color w:val="000000"/>
          <w:sz w:val="20"/>
          <w:szCs w:val="20"/>
          <w:lang w:val="en-US"/>
        </w:rPr>
      </w:pPr>
    </w:p>
    <w:p w:rsidR="0019257D" w:rsidRPr="008B40A8" w:rsidRDefault="00FD02CE" w:rsidP="0019257D">
      <w:pPr>
        <w:pStyle w:val="Listeavsnitt"/>
        <w:shd w:val="clear" w:color="auto" w:fill="FFFFFF"/>
        <w:spacing w:after="0"/>
        <w:ind w:left="465"/>
        <w:rPr>
          <w:rFonts w:eastAsia="Times New Roman" w:cs="Arial"/>
          <w:color w:val="000000"/>
          <w:sz w:val="20"/>
          <w:szCs w:val="20"/>
          <w:lang w:val="en-US"/>
        </w:rPr>
      </w:pPr>
      <w:r w:rsidRPr="005E20EA">
        <w:rPr>
          <w:rFonts w:eastAsia="Times New Roman" w:cs="Arial"/>
          <w:color w:val="000000"/>
          <w:sz w:val="20"/>
          <w:szCs w:val="20"/>
          <w:lang w:val="en-GB"/>
        </w:rPr>
        <w:t>Hot work performed in specially adapted rooms as part of daily operations is exempt from these regulations. The room must be physically separated from other operations as a separate fire cell with non-combustible surfaces.</w:t>
      </w:r>
    </w:p>
    <w:p w:rsidR="002301B7" w:rsidRPr="008B40A8" w:rsidRDefault="00B73DF8" w:rsidP="0019257D">
      <w:pPr>
        <w:pStyle w:val="Listeavsnitt"/>
        <w:shd w:val="clear" w:color="auto" w:fill="FFFFFF"/>
        <w:spacing w:after="0"/>
        <w:ind w:left="465"/>
        <w:rPr>
          <w:rFonts w:eastAsia="Times New Roman" w:cs="Arial"/>
          <w:color w:val="000000"/>
          <w:sz w:val="20"/>
          <w:szCs w:val="20"/>
          <w:lang w:val="en-US"/>
        </w:rPr>
      </w:pPr>
    </w:p>
    <w:p w:rsidR="002301B7" w:rsidRDefault="00FD02CE" w:rsidP="002301B7">
      <w:pPr>
        <w:pStyle w:val="Listeavsnitt"/>
        <w:numPr>
          <w:ilvl w:val="0"/>
          <w:numId w:val="4"/>
        </w:numPr>
        <w:shd w:val="clear" w:color="auto" w:fill="FFFFFF"/>
        <w:spacing w:after="0"/>
        <w:rPr>
          <w:rFonts w:ascii="Calibri" w:eastAsia="Times New Roman" w:hAnsi="Calibri" w:cstheme="majorHAnsi"/>
          <w:b/>
          <w:color w:val="000000"/>
          <w:sz w:val="24"/>
          <w:szCs w:val="24"/>
        </w:rPr>
      </w:pPr>
      <w:r>
        <w:rPr>
          <w:rFonts w:ascii="Calibri" w:eastAsia="Times New Roman" w:hAnsi="Calibri" w:cstheme="majorHAnsi"/>
          <w:b/>
          <w:bCs/>
          <w:color w:val="000000"/>
          <w:sz w:val="24"/>
          <w:szCs w:val="24"/>
          <w:lang w:val="en-GB"/>
        </w:rPr>
        <w:t>Agreements with external craftsmen/contractors</w:t>
      </w:r>
    </w:p>
    <w:p w:rsidR="002301B7" w:rsidRPr="008B40A8" w:rsidRDefault="00FD02CE" w:rsidP="006A408E">
      <w:pPr>
        <w:ind w:left="465"/>
        <w:rPr>
          <w:rFonts w:eastAsia="Times New Roman"/>
          <w:sz w:val="20"/>
          <w:lang w:val="en-US"/>
        </w:rPr>
      </w:pPr>
      <w:r w:rsidRPr="003A408B">
        <w:rPr>
          <w:rFonts w:eastAsia="Times New Roman"/>
          <w:sz w:val="20"/>
          <w:lang w:val="en-GB"/>
        </w:rPr>
        <w:t>If hot work is performed by external craftsmen/contractors, the safety requirements of these regulations must be included in a separate agreement or contract with those responsible for performing the hot work.</w:t>
      </w:r>
    </w:p>
    <w:p w:rsidR="006A408E" w:rsidRDefault="00FD02CE" w:rsidP="00C6396A">
      <w:pPr>
        <w:pStyle w:val="Listeavsnitt"/>
        <w:numPr>
          <w:ilvl w:val="0"/>
          <w:numId w:val="4"/>
        </w:numPr>
        <w:shd w:val="clear" w:color="auto" w:fill="FFFFFF"/>
        <w:spacing w:after="0"/>
        <w:rPr>
          <w:rFonts w:ascii="Calibri" w:eastAsia="Times New Roman" w:hAnsi="Calibri" w:cstheme="majorHAnsi"/>
          <w:b/>
          <w:color w:val="000000"/>
          <w:sz w:val="24"/>
          <w:szCs w:val="24"/>
        </w:rPr>
      </w:pPr>
      <w:r w:rsidRPr="0019257D">
        <w:rPr>
          <w:rFonts w:ascii="Calibri" w:eastAsia="Times New Roman" w:hAnsi="Calibri" w:cstheme="majorHAnsi"/>
          <w:b/>
          <w:bCs/>
          <w:color w:val="000000"/>
          <w:sz w:val="24"/>
          <w:szCs w:val="24"/>
          <w:lang w:val="en-GB"/>
        </w:rPr>
        <w:t>Safety requirements</w:t>
      </w:r>
    </w:p>
    <w:p w:rsidR="009434E5" w:rsidRPr="0019257D" w:rsidRDefault="00FD02CE" w:rsidP="006A408E">
      <w:pPr>
        <w:pStyle w:val="Listeavsnitt"/>
        <w:numPr>
          <w:ilvl w:val="1"/>
          <w:numId w:val="4"/>
        </w:numPr>
        <w:shd w:val="clear" w:color="auto" w:fill="FFFFFF"/>
        <w:spacing w:after="0"/>
        <w:rPr>
          <w:rFonts w:eastAsia="Times New Roman" w:cstheme="majorHAnsi"/>
          <w:color w:val="000000"/>
          <w:sz w:val="20"/>
          <w:szCs w:val="20"/>
        </w:rPr>
      </w:pPr>
      <w:r w:rsidRPr="0019257D">
        <w:rPr>
          <w:rFonts w:eastAsia="Times New Roman" w:cstheme="majorHAnsi"/>
          <w:color w:val="000000"/>
          <w:sz w:val="20"/>
          <w:szCs w:val="20"/>
          <w:lang w:val="en-GB"/>
        </w:rPr>
        <w:t>The work instructions for hot work pub</w:t>
      </w:r>
      <w:r w:rsidR="003A408B">
        <w:rPr>
          <w:rFonts w:eastAsia="Times New Roman" w:cstheme="majorHAnsi"/>
          <w:color w:val="000000"/>
          <w:sz w:val="20"/>
          <w:szCs w:val="20"/>
          <w:lang w:val="en-GB"/>
        </w:rPr>
        <w:t xml:space="preserve">lished by Finance Norway, or </w:t>
      </w:r>
      <w:r w:rsidRPr="0019257D">
        <w:rPr>
          <w:rFonts w:eastAsia="Times New Roman" w:cstheme="majorHAnsi"/>
          <w:color w:val="000000"/>
          <w:sz w:val="20"/>
          <w:szCs w:val="20"/>
          <w:lang w:val="en-GB"/>
        </w:rPr>
        <w:t>equivalent work instructions, must be completed and signed prior to execution of the work. These work instructions are available at www.fgsikring.no.</w:t>
      </w:r>
    </w:p>
    <w:p w:rsidR="0019257D" w:rsidRPr="008B40A8" w:rsidRDefault="00FD02CE" w:rsidP="0019257D">
      <w:pPr>
        <w:pStyle w:val="Listeavsnitt"/>
        <w:numPr>
          <w:ilvl w:val="1"/>
          <w:numId w:val="4"/>
        </w:numPr>
        <w:shd w:val="clear" w:color="auto" w:fill="FFFFFF"/>
        <w:spacing w:after="0"/>
        <w:rPr>
          <w:rFonts w:eastAsia="Times New Roman" w:cstheme="majorHAnsi"/>
          <w:color w:val="000000"/>
          <w:sz w:val="20"/>
          <w:szCs w:val="20"/>
          <w:lang w:val="en-US"/>
        </w:rPr>
      </w:pPr>
      <w:r w:rsidRPr="0019257D">
        <w:rPr>
          <w:rFonts w:eastAsia="Times New Roman" w:cstheme="majorHAnsi"/>
          <w:color w:val="000000"/>
          <w:sz w:val="20"/>
          <w:szCs w:val="20"/>
          <w:lang w:val="en-GB"/>
        </w:rPr>
        <w:t>All combustible material in the hazard area where hot work is performed must be removed or protected.</w:t>
      </w:r>
    </w:p>
    <w:p w:rsidR="0019257D" w:rsidRPr="008B40A8" w:rsidRDefault="00FD02CE" w:rsidP="0019257D">
      <w:pPr>
        <w:pStyle w:val="Listeavsnitt"/>
        <w:numPr>
          <w:ilvl w:val="1"/>
          <w:numId w:val="4"/>
        </w:numPr>
        <w:shd w:val="clear" w:color="auto" w:fill="FFFFFF"/>
        <w:spacing w:after="0"/>
        <w:rPr>
          <w:rFonts w:eastAsia="Times New Roman" w:cstheme="majorHAnsi"/>
          <w:color w:val="000000"/>
          <w:sz w:val="20"/>
          <w:szCs w:val="20"/>
          <w:lang w:val="en-US"/>
        </w:rPr>
      </w:pPr>
      <w:r w:rsidRPr="0019257D">
        <w:rPr>
          <w:rFonts w:eastAsia="Times New Roman" w:cstheme="majorHAnsi"/>
          <w:color w:val="000000"/>
          <w:sz w:val="20"/>
          <w:szCs w:val="20"/>
          <w:lang w:val="en-GB"/>
        </w:rPr>
        <w:t>Openings in floors, walls and ceilings in the hazard area where hot work is performed must be sealed.</w:t>
      </w:r>
    </w:p>
    <w:p w:rsidR="0019257D" w:rsidRPr="008B40A8" w:rsidRDefault="00FD02CE" w:rsidP="0019257D">
      <w:pPr>
        <w:pStyle w:val="Listeavsnitt"/>
        <w:numPr>
          <w:ilvl w:val="1"/>
          <w:numId w:val="4"/>
        </w:numPr>
        <w:shd w:val="clear" w:color="auto" w:fill="FFFFFF"/>
        <w:spacing w:after="0"/>
        <w:rPr>
          <w:rFonts w:eastAsia="Times New Roman" w:cstheme="majorHAnsi"/>
          <w:color w:val="000000"/>
          <w:sz w:val="20"/>
          <w:szCs w:val="20"/>
          <w:lang w:val="en-US"/>
        </w:rPr>
      </w:pPr>
      <w:r w:rsidRPr="0019257D">
        <w:rPr>
          <w:rFonts w:eastAsia="Times New Roman" w:cstheme="majorHAnsi"/>
          <w:color w:val="000000"/>
          <w:sz w:val="20"/>
          <w:szCs w:val="20"/>
          <w:lang w:val="en-GB"/>
        </w:rPr>
        <w:t>Approved fire extinguishing equipment (at least two 6 kg powder extinguishers with a minimum output of 34A 233B C) must be easily accessible. One portable fire extinguisher may be substituted with a fire hose with an internal diameter of at least 19 mm, with water turned on up to the nozzle.</w:t>
      </w:r>
    </w:p>
    <w:p w:rsidR="0019257D" w:rsidRPr="008B40A8" w:rsidRDefault="00FD02CE" w:rsidP="0019257D">
      <w:pPr>
        <w:pStyle w:val="Listeavsnitt"/>
        <w:numPr>
          <w:ilvl w:val="1"/>
          <w:numId w:val="4"/>
        </w:numPr>
        <w:shd w:val="clear" w:color="auto" w:fill="FFFFFF"/>
        <w:spacing w:after="0"/>
        <w:rPr>
          <w:rFonts w:eastAsia="Times New Roman" w:cstheme="majorHAnsi"/>
          <w:color w:val="000000"/>
          <w:sz w:val="20"/>
          <w:szCs w:val="20"/>
          <w:lang w:val="en-US"/>
        </w:rPr>
      </w:pPr>
      <w:r w:rsidRPr="0019257D">
        <w:rPr>
          <w:rFonts w:ascii="Calibri" w:eastAsia="Times New Roman" w:hAnsi="Calibri" w:cstheme="majorHAnsi"/>
          <w:color w:val="000000"/>
          <w:sz w:val="20"/>
          <w:szCs w:val="20"/>
          <w:lang w:val="en-GB"/>
        </w:rPr>
        <w:t xml:space="preserve">The specified fire </w:t>
      </w:r>
      <w:proofErr w:type="gramStart"/>
      <w:r w:rsidRPr="0019257D">
        <w:rPr>
          <w:rFonts w:ascii="Calibri" w:eastAsia="Times New Roman" w:hAnsi="Calibri" w:cstheme="majorHAnsi"/>
          <w:color w:val="000000"/>
          <w:sz w:val="20"/>
          <w:szCs w:val="20"/>
          <w:lang w:val="en-GB"/>
        </w:rPr>
        <w:t>watch(</w:t>
      </w:r>
      <w:proofErr w:type="gramEnd"/>
      <w:r w:rsidRPr="0019257D">
        <w:rPr>
          <w:rFonts w:ascii="Calibri" w:eastAsia="Times New Roman" w:hAnsi="Calibri" w:cstheme="majorHAnsi"/>
          <w:color w:val="000000"/>
          <w:sz w:val="20"/>
          <w:szCs w:val="20"/>
          <w:lang w:val="en-GB"/>
        </w:rPr>
        <w:t>es) must be present during the work, during breaks and for at least one hour after work has finished. The person performing the hot work may act as fire watch in cases where the fire risk is considered low.</w:t>
      </w:r>
    </w:p>
    <w:p w:rsidR="006A408E" w:rsidRPr="008B40A8" w:rsidRDefault="00FD02CE" w:rsidP="0019257D">
      <w:pPr>
        <w:pStyle w:val="Listeavsnitt"/>
        <w:numPr>
          <w:ilvl w:val="1"/>
          <w:numId w:val="4"/>
        </w:numPr>
        <w:shd w:val="clear" w:color="auto" w:fill="FFFFFF"/>
        <w:spacing w:after="0"/>
        <w:rPr>
          <w:rFonts w:ascii="Calibri" w:eastAsia="Times New Roman" w:hAnsi="Calibri" w:cstheme="majorHAnsi"/>
          <w:color w:val="000000"/>
          <w:sz w:val="20"/>
          <w:szCs w:val="20"/>
          <w:lang w:val="en-US"/>
        </w:rPr>
      </w:pPr>
      <w:r w:rsidRPr="0019257D">
        <w:rPr>
          <w:rFonts w:ascii="Calibri" w:eastAsia="Times New Roman" w:hAnsi="Calibri" w:cstheme="majorHAnsi"/>
          <w:color w:val="000000"/>
          <w:sz w:val="20"/>
          <w:szCs w:val="20"/>
          <w:lang w:val="en-GB"/>
        </w:rPr>
        <w:t>To be permitted to perform hot work, the fire watch and person performing the work must hold a valid certificate for hot work from the Norwegian Fire Protection Association or partner organisation in another Nordic country.</w:t>
      </w:r>
    </w:p>
    <w:p w:rsidR="00F63DA2" w:rsidRPr="008B40A8" w:rsidRDefault="00B73DF8" w:rsidP="00C6396A">
      <w:pPr>
        <w:shd w:val="clear" w:color="auto" w:fill="FFFFFF"/>
        <w:spacing w:after="0"/>
        <w:rPr>
          <w:rFonts w:ascii="Calibri" w:eastAsia="Times New Roman" w:hAnsi="Calibri" w:cstheme="majorHAnsi"/>
          <w:i/>
          <w:color w:val="000000"/>
          <w:sz w:val="20"/>
          <w:szCs w:val="20"/>
          <w:lang w:val="en-US"/>
        </w:rPr>
      </w:pPr>
    </w:p>
    <w:p w:rsidR="0019257D" w:rsidRPr="008B40A8" w:rsidRDefault="00FD02CE" w:rsidP="0019257D">
      <w:pPr>
        <w:pStyle w:val="Listeavsnitt"/>
        <w:numPr>
          <w:ilvl w:val="0"/>
          <w:numId w:val="4"/>
        </w:numPr>
        <w:shd w:val="clear" w:color="auto" w:fill="FFFFFF"/>
        <w:spacing w:after="0"/>
        <w:rPr>
          <w:rFonts w:ascii="Calibri" w:eastAsia="Times New Roman" w:hAnsi="Calibri" w:cstheme="majorHAnsi"/>
          <w:b/>
          <w:color w:val="000000"/>
          <w:sz w:val="24"/>
          <w:szCs w:val="24"/>
          <w:lang w:val="en-US"/>
        </w:rPr>
      </w:pPr>
      <w:r w:rsidRPr="0019257D">
        <w:rPr>
          <w:rFonts w:ascii="Calibri" w:eastAsia="Times New Roman" w:hAnsi="Calibri" w:cstheme="majorHAnsi"/>
          <w:b/>
          <w:bCs/>
          <w:color w:val="000000"/>
          <w:sz w:val="24"/>
          <w:szCs w:val="24"/>
          <w:lang w:val="en-GB"/>
        </w:rPr>
        <w:t>The following additional safety requirements apply when working on roofs</w:t>
      </w:r>
    </w:p>
    <w:p w:rsidR="0019257D" w:rsidRPr="008B40A8" w:rsidRDefault="00FD02CE" w:rsidP="0019257D">
      <w:pPr>
        <w:pStyle w:val="Listeavsnitt"/>
        <w:shd w:val="clear" w:color="auto" w:fill="FFFFFF"/>
        <w:spacing w:after="0"/>
        <w:ind w:left="465"/>
        <w:rPr>
          <w:rFonts w:ascii="Calibri" w:eastAsia="Times New Roman" w:hAnsi="Calibri" w:cs="Arial"/>
          <w:color w:val="000000"/>
          <w:sz w:val="20"/>
          <w:szCs w:val="20"/>
          <w:lang w:val="en-US"/>
        </w:rPr>
      </w:pPr>
      <w:r w:rsidRPr="0019257D">
        <w:rPr>
          <w:rFonts w:ascii="Calibri" w:eastAsia="Times New Roman" w:hAnsi="Calibri" w:cs="Arial"/>
          <w:color w:val="000000"/>
          <w:sz w:val="20"/>
          <w:szCs w:val="20"/>
          <w:lang w:val="en-GB"/>
        </w:rPr>
        <w:t>The use of naked flames on new and previously covered roofs is forbidden, with the following exceptions:</w:t>
      </w:r>
    </w:p>
    <w:p w:rsidR="00161D98" w:rsidRPr="008B40A8" w:rsidRDefault="00FD02CE" w:rsidP="0019257D">
      <w:pPr>
        <w:pStyle w:val="Listeavsnitt"/>
        <w:numPr>
          <w:ilvl w:val="0"/>
          <w:numId w:val="2"/>
        </w:numPr>
        <w:shd w:val="clear" w:color="auto" w:fill="FFFFFF"/>
        <w:spacing w:after="0"/>
        <w:rPr>
          <w:rFonts w:ascii="Calibri" w:eastAsia="Times New Roman" w:hAnsi="Calibri" w:cstheme="majorHAnsi"/>
          <w:b/>
          <w:color w:val="000000"/>
          <w:sz w:val="24"/>
          <w:szCs w:val="24"/>
          <w:lang w:val="en-US"/>
        </w:rPr>
      </w:pPr>
      <w:r w:rsidRPr="0019257D">
        <w:rPr>
          <w:rFonts w:ascii="Calibri" w:eastAsia="Times New Roman" w:hAnsi="Calibri" w:cs="Arial"/>
          <w:color w:val="000000"/>
          <w:sz w:val="20"/>
          <w:szCs w:val="20"/>
          <w:lang w:val="en-GB"/>
        </w:rPr>
        <w:t>If there is a distance of at least 60 cm from openings, ducts, drains, cornices, metal roofing fittings, etc., when the roof structure consists solely of non-combustible materials.</w:t>
      </w:r>
    </w:p>
    <w:p w:rsidR="00B9372E" w:rsidRPr="008B40A8" w:rsidRDefault="00FD02CE" w:rsidP="00B9372E">
      <w:pPr>
        <w:pStyle w:val="Listeavsnitt"/>
        <w:numPr>
          <w:ilvl w:val="0"/>
          <w:numId w:val="2"/>
        </w:numPr>
        <w:spacing w:after="0"/>
        <w:rPr>
          <w:rFonts w:ascii="Calibri" w:eastAsia="Times New Roman" w:hAnsi="Calibri" w:cs="Arial"/>
          <w:i/>
          <w:color w:val="000000"/>
          <w:sz w:val="20"/>
          <w:szCs w:val="20"/>
          <w:lang w:val="en-US"/>
        </w:rPr>
      </w:pPr>
      <w:r>
        <w:rPr>
          <w:rFonts w:ascii="Calibri" w:eastAsia="Times New Roman" w:hAnsi="Calibri" w:cs="Arial"/>
          <w:color w:val="000000"/>
          <w:sz w:val="20"/>
          <w:szCs w:val="20"/>
          <w:lang w:val="en-GB"/>
        </w:rPr>
        <w:t>If there is a distance of at least 60 cm from openings, ducts, drains, cornices, metal roofing fittings, etc., when the roof structure consists of combustible materials and the top layer is protected with at least 30 mm of non-combustible insulation.</w:t>
      </w:r>
    </w:p>
    <w:p w:rsidR="009E4414" w:rsidRPr="008B40A8" w:rsidRDefault="00FD02CE" w:rsidP="00F63DA2">
      <w:pPr>
        <w:spacing w:after="0"/>
        <w:rPr>
          <w:rFonts w:eastAsia="Times New Roman" w:cstheme="majorHAnsi"/>
          <w:color w:val="000000"/>
          <w:sz w:val="24"/>
          <w:szCs w:val="24"/>
          <w:lang w:val="en-US"/>
        </w:rPr>
      </w:pPr>
      <w:r>
        <w:rPr>
          <w:rFonts w:eastAsia="Times New Roman" w:cstheme="majorHAnsi"/>
          <w:color w:val="000000"/>
          <w:sz w:val="24"/>
          <w:szCs w:val="24"/>
          <w:lang w:val="en-GB"/>
        </w:rPr>
        <w:br/>
      </w:r>
    </w:p>
    <w:sectPr w:rsidR="009E4414" w:rsidRPr="008B40A8" w:rsidSect="00EE758B">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3DF8" w:rsidRDefault="00B73DF8">
      <w:pPr>
        <w:spacing w:after="0" w:line="240" w:lineRule="auto"/>
      </w:pPr>
      <w:r>
        <w:separator/>
      </w:r>
    </w:p>
  </w:endnote>
  <w:endnote w:type="continuationSeparator" w:id="0">
    <w:p w:rsidR="00B73DF8" w:rsidRDefault="00B73D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560" w:rsidRDefault="00426560">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560" w:rsidRDefault="00426560">
    <w:pPr>
      <w:pStyle w:val="Bunn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560" w:rsidRDefault="00426560">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3DF8" w:rsidRDefault="00B73DF8">
      <w:pPr>
        <w:spacing w:after="0" w:line="240" w:lineRule="auto"/>
      </w:pPr>
      <w:r>
        <w:separator/>
      </w:r>
    </w:p>
  </w:footnote>
  <w:footnote w:type="continuationSeparator" w:id="0">
    <w:p w:rsidR="00B73DF8" w:rsidRDefault="00B73D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560" w:rsidRDefault="00426560">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1A0" w:rsidRDefault="00FD02CE" w:rsidP="0077600B">
    <w:pPr>
      <w:pStyle w:val="Topptekst"/>
    </w:pPr>
    <w:bookmarkStart w:id="0" w:name="_GoBack"/>
    <w:bookmarkEnd w:id="0"/>
    <w:r>
      <w:rPr>
        <w:lang w:val="en-GB"/>
      </w:rPr>
      <w:tab/>
    </w:r>
    <w:r>
      <w:rPr>
        <w:lang w:val="en-GB"/>
      </w:rPr>
      <w:tab/>
    </w:r>
    <w:r>
      <w:rPr>
        <w:rFonts w:ascii="Arial" w:hAnsi="Arial" w:cs="Arial"/>
        <w:b/>
        <w:noProof/>
        <w:sz w:val="28"/>
        <w:szCs w:val="32"/>
      </w:rPr>
      <w:drawing>
        <wp:inline distT="0" distB="0" distL="0" distR="0">
          <wp:extent cx="2032000" cy="419100"/>
          <wp:effectExtent l="19050" t="0" r="6350" b="0"/>
          <wp:docPr id="1" name="Bilde 1" descr="Hovedlogo webkvalitet l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vedlogo webkvalitet lite"/>
                  <pic:cNvPicPr>
                    <a:picLocks noChangeAspect="1" noChangeArrowheads="1"/>
                  </pic:cNvPicPr>
                </pic:nvPicPr>
                <pic:blipFill>
                  <a:blip r:embed="rId1"/>
                  <a:srcRect/>
                  <a:stretch>
                    <a:fillRect/>
                  </a:stretch>
                </pic:blipFill>
                <pic:spPr bwMode="auto">
                  <a:xfrm>
                    <a:off x="0" y="0"/>
                    <a:ext cx="2032000" cy="419100"/>
                  </a:xfrm>
                  <a:prstGeom prst="rect">
                    <a:avLst/>
                  </a:prstGeom>
                  <a:noFill/>
                  <a:ln w="9525">
                    <a:noFill/>
                    <a:miter lim="800000"/>
                    <a:headEnd/>
                    <a:tailEnd/>
                  </a:ln>
                </pic:spPr>
              </pic:pic>
            </a:graphicData>
          </a:graphic>
        </wp:inline>
      </w:drawing>
    </w:r>
  </w:p>
  <w:p w:rsidR="000501A0" w:rsidRDefault="00B73DF8" w:rsidP="000C3A5E">
    <w:pPr>
      <w:pStyle w:val="Topptekst"/>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560" w:rsidRDefault="00426560">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80D94"/>
    <w:multiLevelType w:val="hybridMultilevel"/>
    <w:tmpl w:val="65526444"/>
    <w:lvl w:ilvl="0" w:tplc="AEA231B6">
      <w:numFmt w:val="bullet"/>
      <w:lvlText w:val="-"/>
      <w:lvlJc w:val="left"/>
      <w:pPr>
        <w:ind w:left="720" w:hanging="360"/>
      </w:pPr>
      <w:rPr>
        <w:rFonts w:ascii="Calibri" w:eastAsia="Times New Roman" w:hAnsi="Calibri" w:cs="Arial" w:hint="default"/>
      </w:rPr>
    </w:lvl>
    <w:lvl w:ilvl="1" w:tplc="5DD40E26">
      <w:start w:val="1"/>
      <w:numFmt w:val="bullet"/>
      <w:lvlText w:val="o"/>
      <w:lvlJc w:val="left"/>
      <w:pPr>
        <w:ind w:left="1440" w:hanging="360"/>
      </w:pPr>
      <w:rPr>
        <w:rFonts w:ascii="Courier New" w:hAnsi="Courier New" w:cs="Courier New" w:hint="default"/>
      </w:rPr>
    </w:lvl>
    <w:lvl w:ilvl="2" w:tplc="4C4A4480" w:tentative="1">
      <w:start w:val="1"/>
      <w:numFmt w:val="bullet"/>
      <w:lvlText w:val=""/>
      <w:lvlJc w:val="left"/>
      <w:pPr>
        <w:ind w:left="2160" w:hanging="360"/>
      </w:pPr>
      <w:rPr>
        <w:rFonts w:ascii="Wingdings" w:hAnsi="Wingdings" w:hint="default"/>
      </w:rPr>
    </w:lvl>
    <w:lvl w:ilvl="3" w:tplc="49F0F11A" w:tentative="1">
      <w:start w:val="1"/>
      <w:numFmt w:val="bullet"/>
      <w:lvlText w:val=""/>
      <w:lvlJc w:val="left"/>
      <w:pPr>
        <w:ind w:left="2880" w:hanging="360"/>
      </w:pPr>
      <w:rPr>
        <w:rFonts w:ascii="Symbol" w:hAnsi="Symbol" w:hint="default"/>
      </w:rPr>
    </w:lvl>
    <w:lvl w:ilvl="4" w:tplc="0B761E4C" w:tentative="1">
      <w:start w:val="1"/>
      <w:numFmt w:val="bullet"/>
      <w:lvlText w:val="o"/>
      <w:lvlJc w:val="left"/>
      <w:pPr>
        <w:ind w:left="3600" w:hanging="360"/>
      </w:pPr>
      <w:rPr>
        <w:rFonts w:ascii="Courier New" w:hAnsi="Courier New" w:cs="Courier New" w:hint="default"/>
      </w:rPr>
    </w:lvl>
    <w:lvl w:ilvl="5" w:tplc="CA722C24" w:tentative="1">
      <w:start w:val="1"/>
      <w:numFmt w:val="bullet"/>
      <w:lvlText w:val=""/>
      <w:lvlJc w:val="left"/>
      <w:pPr>
        <w:ind w:left="4320" w:hanging="360"/>
      </w:pPr>
      <w:rPr>
        <w:rFonts w:ascii="Wingdings" w:hAnsi="Wingdings" w:hint="default"/>
      </w:rPr>
    </w:lvl>
    <w:lvl w:ilvl="6" w:tplc="BEEC0FBA" w:tentative="1">
      <w:start w:val="1"/>
      <w:numFmt w:val="bullet"/>
      <w:lvlText w:val=""/>
      <w:lvlJc w:val="left"/>
      <w:pPr>
        <w:ind w:left="5040" w:hanging="360"/>
      </w:pPr>
      <w:rPr>
        <w:rFonts w:ascii="Symbol" w:hAnsi="Symbol" w:hint="default"/>
      </w:rPr>
    </w:lvl>
    <w:lvl w:ilvl="7" w:tplc="97D44962" w:tentative="1">
      <w:start w:val="1"/>
      <w:numFmt w:val="bullet"/>
      <w:lvlText w:val="o"/>
      <w:lvlJc w:val="left"/>
      <w:pPr>
        <w:ind w:left="5760" w:hanging="360"/>
      </w:pPr>
      <w:rPr>
        <w:rFonts w:ascii="Courier New" w:hAnsi="Courier New" w:cs="Courier New" w:hint="default"/>
      </w:rPr>
    </w:lvl>
    <w:lvl w:ilvl="8" w:tplc="A178121C" w:tentative="1">
      <w:start w:val="1"/>
      <w:numFmt w:val="bullet"/>
      <w:lvlText w:val=""/>
      <w:lvlJc w:val="left"/>
      <w:pPr>
        <w:ind w:left="6480" w:hanging="360"/>
      </w:pPr>
      <w:rPr>
        <w:rFonts w:ascii="Wingdings" w:hAnsi="Wingdings" w:hint="default"/>
      </w:rPr>
    </w:lvl>
  </w:abstractNum>
  <w:abstractNum w:abstractNumId="1">
    <w:nsid w:val="17A12B60"/>
    <w:multiLevelType w:val="multilevel"/>
    <w:tmpl w:val="242299F8"/>
    <w:lvl w:ilvl="0">
      <w:start w:val="1"/>
      <w:numFmt w:val="decimal"/>
      <w:lvlText w:val="%1."/>
      <w:lvlJc w:val="left"/>
      <w:pPr>
        <w:ind w:left="465"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335" w:hanging="720"/>
      </w:pPr>
      <w:rPr>
        <w:rFonts w:hint="default"/>
        <w:b/>
      </w:rPr>
    </w:lvl>
    <w:lvl w:ilvl="3">
      <w:start w:val="1"/>
      <w:numFmt w:val="decimal"/>
      <w:isLgl/>
      <w:lvlText w:val="%1.%2.%3.%4"/>
      <w:lvlJc w:val="left"/>
      <w:pPr>
        <w:ind w:left="1590" w:hanging="720"/>
      </w:pPr>
      <w:rPr>
        <w:rFonts w:hint="default"/>
        <w:b/>
      </w:rPr>
    </w:lvl>
    <w:lvl w:ilvl="4">
      <w:start w:val="1"/>
      <w:numFmt w:val="decimal"/>
      <w:isLgl/>
      <w:lvlText w:val="%1.%2.%3.%4.%5"/>
      <w:lvlJc w:val="left"/>
      <w:pPr>
        <w:ind w:left="1845" w:hanging="720"/>
      </w:pPr>
      <w:rPr>
        <w:rFonts w:hint="default"/>
        <w:b/>
      </w:rPr>
    </w:lvl>
    <w:lvl w:ilvl="5">
      <w:start w:val="1"/>
      <w:numFmt w:val="decimal"/>
      <w:isLgl/>
      <w:lvlText w:val="%1.%2.%3.%4.%5.%6"/>
      <w:lvlJc w:val="left"/>
      <w:pPr>
        <w:ind w:left="2460" w:hanging="1080"/>
      </w:pPr>
      <w:rPr>
        <w:rFonts w:hint="default"/>
        <w:b/>
      </w:rPr>
    </w:lvl>
    <w:lvl w:ilvl="6">
      <w:start w:val="1"/>
      <w:numFmt w:val="decimal"/>
      <w:isLgl/>
      <w:lvlText w:val="%1.%2.%3.%4.%5.%6.%7"/>
      <w:lvlJc w:val="left"/>
      <w:pPr>
        <w:ind w:left="2715" w:hanging="1080"/>
      </w:pPr>
      <w:rPr>
        <w:rFonts w:hint="default"/>
        <w:b/>
      </w:rPr>
    </w:lvl>
    <w:lvl w:ilvl="7">
      <w:start w:val="1"/>
      <w:numFmt w:val="decimal"/>
      <w:isLgl/>
      <w:lvlText w:val="%1.%2.%3.%4.%5.%6.%7.%8"/>
      <w:lvlJc w:val="left"/>
      <w:pPr>
        <w:ind w:left="3330" w:hanging="1440"/>
      </w:pPr>
      <w:rPr>
        <w:rFonts w:hint="default"/>
        <w:b/>
      </w:rPr>
    </w:lvl>
    <w:lvl w:ilvl="8">
      <w:start w:val="1"/>
      <w:numFmt w:val="decimal"/>
      <w:isLgl/>
      <w:lvlText w:val="%1.%2.%3.%4.%5.%6.%7.%8.%9"/>
      <w:lvlJc w:val="left"/>
      <w:pPr>
        <w:ind w:left="3585" w:hanging="1440"/>
      </w:pPr>
      <w:rPr>
        <w:rFonts w:hint="default"/>
        <w:b/>
      </w:rPr>
    </w:lvl>
  </w:abstractNum>
  <w:abstractNum w:abstractNumId="2">
    <w:nsid w:val="4FA76F63"/>
    <w:multiLevelType w:val="hybridMultilevel"/>
    <w:tmpl w:val="FCB65DFC"/>
    <w:lvl w:ilvl="0" w:tplc="9104D328">
      <w:start w:val="1"/>
      <w:numFmt w:val="decimal"/>
      <w:lvlText w:val="%1."/>
      <w:lvlJc w:val="left"/>
      <w:pPr>
        <w:ind w:left="827" w:hanging="360"/>
      </w:pPr>
    </w:lvl>
    <w:lvl w:ilvl="1" w:tplc="5F2CB0A6" w:tentative="1">
      <w:start w:val="1"/>
      <w:numFmt w:val="lowerLetter"/>
      <w:lvlText w:val="%2."/>
      <w:lvlJc w:val="left"/>
      <w:pPr>
        <w:ind w:left="1547" w:hanging="360"/>
      </w:pPr>
    </w:lvl>
    <w:lvl w:ilvl="2" w:tplc="405207A4" w:tentative="1">
      <w:start w:val="1"/>
      <w:numFmt w:val="lowerRoman"/>
      <w:lvlText w:val="%3."/>
      <w:lvlJc w:val="right"/>
      <w:pPr>
        <w:ind w:left="2267" w:hanging="180"/>
      </w:pPr>
    </w:lvl>
    <w:lvl w:ilvl="3" w:tplc="939EB65C" w:tentative="1">
      <w:start w:val="1"/>
      <w:numFmt w:val="decimal"/>
      <w:lvlText w:val="%4."/>
      <w:lvlJc w:val="left"/>
      <w:pPr>
        <w:ind w:left="2987" w:hanging="360"/>
      </w:pPr>
    </w:lvl>
    <w:lvl w:ilvl="4" w:tplc="65E0E368" w:tentative="1">
      <w:start w:val="1"/>
      <w:numFmt w:val="lowerLetter"/>
      <w:lvlText w:val="%5."/>
      <w:lvlJc w:val="left"/>
      <w:pPr>
        <w:ind w:left="3707" w:hanging="360"/>
      </w:pPr>
    </w:lvl>
    <w:lvl w:ilvl="5" w:tplc="8724D676" w:tentative="1">
      <w:start w:val="1"/>
      <w:numFmt w:val="lowerRoman"/>
      <w:lvlText w:val="%6."/>
      <w:lvlJc w:val="right"/>
      <w:pPr>
        <w:ind w:left="4427" w:hanging="180"/>
      </w:pPr>
    </w:lvl>
    <w:lvl w:ilvl="6" w:tplc="0CE29CA2" w:tentative="1">
      <w:start w:val="1"/>
      <w:numFmt w:val="decimal"/>
      <w:lvlText w:val="%7."/>
      <w:lvlJc w:val="left"/>
      <w:pPr>
        <w:ind w:left="5147" w:hanging="360"/>
      </w:pPr>
    </w:lvl>
    <w:lvl w:ilvl="7" w:tplc="6F9059F2" w:tentative="1">
      <w:start w:val="1"/>
      <w:numFmt w:val="lowerLetter"/>
      <w:lvlText w:val="%8."/>
      <w:lvlJc w:val="left"/>
      <w:pPr>
        <w:ind w:left="5867" w:hanging="360"/>
      </w:pPr>
    </w:lvl>
    <w:lvl w:ilvl="8" w:tplc="0EBA4BBA" w:tentative="1">
      <w:start w:val="1"/>
      <w:numFmt w:val="lowerRoman"/>
      <w:lvlText w:val="%9."/>
      <w:lvlJc w:val="right"/>
      <w:pPr>
        <w:ind w:left="6587" w:hanging="180"/>
      </w:pPr>
    </w:lvl>
  </w:abstractNum>
  <w:abstractNum w:abstractNumId="3">
    <w:nsid w:val="6C3508D2"/>
    <w:multiLevelType w:val="multilevel"/>
    <w:tmpl w:val="4C4EA64C"/>
    <w:lvl w:ilvl="0">
      <w:numFmt w:val="decimal"/>
      <w:lvlText w:val="%1."/>
      <w:lvlJc w:val="left"/>
      <w:pPr>
        <w:ind w:left="816" w:hanging="360"/>
      </w:pPr>
      <w:rPr>
        <w:rFonts w:ascii="Arial" w:hAnsi="Arial" w:cs="Arial" w:hint="default"/>
        <w:b/>
        <w:i/>
        <w:sz w:val="22"/>
        <w:szCs w:val="22"/>
      </w:rPr>
    </w:lvl>
    <w:lvl w:ilvl="1">
      <w:start w:val="6"/>
      <w:numFmt w:val="decimal"/>
      <w:isLgl/>
      <w:lvlText w:val="%1.%2"/>
      <w:lvlJc w:val="left"/>
      <w:pPr>
        <w:ind w:left="816" w:hanging="360"/>
      </w:pPr>
      <w:rPr>
        <w:rFonts w:hint="default"/>
      </w:rPr>
    </w:lvl>
    <w:lvl w:ilvl="2">
      <w:start w:val="1"/>
      <w:numFmt w:val="decimal"/>
      <w:isLgl/>
      <w:lvlText w:val="%1.%2.%3"/>
      <w:lvlJc w:val="left"/>
      <w:pPr>
        <w:ind w:left="1176" w:hanging="720"/>
      </w:pPr>
      <w:rPr>
        <w:rFonts w:hint="default"/>
      </w:rPr>
    </w:lvl>
    <w:lvl w:ilvl="3">
      <w:start w:val="1"/>
      <w:numFmt w:val="decimal"/>
      <w:isLgl/>
      <w:lvlText w:val="%1.%2.%3.%4"/>
      <w:lvlJc w:val="left"/>
      <w:pPr>
        <w:ind w:left="1176" w:hanging="720"/>
      </w:pPr>
      <w:rPr>
        <w:rFonts w:hint="default"/>
      </w:rPr>
    </w:lvl>
    <w:lvl w:ilvl="4">
      <w:start w:val="1"/>
      <w:numFmt w:val="decimal"/>
      <w:isLgl/>
      <w:lvlText w:val="%1.%2.%3.%4.%5"/>
      <w:lvlJc w:val="left"/>
      <w:pPr>
        <w:ind w:left="1536" w:hanging="1080"/>
      </w:pPr>
      <w:rPr>
        <w:rFonts w:hint="default"/>
      </w:rPr>
    </w:lvl>
    <w:lvl w:ilvl="5">
      <w:start w:val="1"/>
      <w:numFmt w:val="decimal"/>
      <w:isLgl/>
      <w:lvlText w:val="%1.%2.%3.%4.%5.%6"/>
      <w:lvlJc w:val="left"/>
      <w:pPr>
        <w:ind w:left="1536" w:hanging="1080"/>
      </w:pPr>
      <w:rPr>
        <w:rFonts w:hint="default"/>
      </w:rPr>
    </w:lvl>
    <w:lvl w:ilvl="6">
      <w:start w:val="1"/>
      <w:numFmt w:val="decimal"/>
      <w:isLgl/>
      <w:lvlText w:val="%1.%2.%3.%4.%5.%6.%7"/>
      <w:lvlJc w:val="left"/>
      <w:pPr>
        <w:ind w:left="1896" w:hanging="1440"/>
      </w:pPr>
      <w:rPr>
        <w:rFonts w:hint="default"/>
      </w:rPr>
    </w:lvl>
    <w:lvl w:ilvl="7">
      <w:start w:val="1"/>
      <w:numFmt w:val="decimal"/>
      <w:isLgl/>
      <w:lvlText w:val="%1.%2.%3.%4.%5.%6.%7.%8"/>
      <w:lvlJc w:val="left"/>
      <w:pPr>
        <w:ind w:left="1896" w:hanging="1440"/>
      </w:pPr>
      <w:rPr>
        <w:rFonts w:hint="default"/>
      </w:rPr>
    </w:lvl>
    <w:lvl w:ilvl="8">
      <w:start w:val="1"/>
      <w:numFmt w:val="decimal"/>
      <w:isLgl/>
      <w:lvlText w:val="%1.%2.%3.%4.%5.%6.%7.%8.%9"/>
      <w:lvlJc w:val="left"/>
      <w:pPr>
        <w:ind w:left="2256" w:hanging="1800"/>
      </w:pPr>
      <w:rPr>
        <w:rFont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C55"/>
    <w:rsid w:val="002F0C55"/>
    <w:rsid w:val="003A408B"/>
    <w:rsid w:val="00426560"/>
    <w:rsid w:val="008B40A8"/>
    <w:rsid w:val="00B73DF8"/>
    <w:rsid w:val="00ED55C8"/>
    <w:rsid w:val="00FD02CE"/>
  </w:rsids>
  <m:mathPr>
    <m:mathFont m:val="Cambria Math"/>
    <m:brkBin m:val="before"/>
    <m:brkBinSub m:val="--"/>
    <m:smallFrac m:val="0"/>
    <m:dispDef/>
    <m:lMargin m:val="0"/>
    <m:rMargin m:val="0"/>
    <m:defJc m:val="centerGroup"/>
    <m:wrapIndent m:val="1440"/>
    <m:intLim m:val="subSup"/>
    <m:naryLim m:val="undOvr"/>
  </m:mathPr>
  <w:themeFontLang w:val="nb-NO"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Fotnotetekst">
    <w:name w:val="footnote text"/>
    <w:basedOn w:val="Normal"/>
    <w:link w:val="FotnotetekstTegn"/>
    <w:uiPriority w:val="99"/>
    <w:semiHidden/>
    <w:unhideWhenUsed/>
    <w:rsid w:val="00D059B8"/>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D059B8"/>
    <w:rPr>
      <w:rFonts w:eastAsiaTheme="minorEastAsia"/>
      <w:sz w:val="20"/>
      <w:szCs w:val="20"/>
      <w:lang w:eastAsia="nb-NO"/>
    </w:rPr>
  </w:style>
  <w:style w:type="character" w:styleId="Fotnotereferanse">
    <w:name w:val="footnote reference"/>
    <w:basedOn w:val="Standardskriftforavsnitt"/>
    <w:uiPriority w:val="99"/>
    <w:semiHidden/>
    <w:unhideWhenUsed/>
    <w:rsid w:val="00D059B8"/>
    <w:rPr>
      <w:vertAlign w:val="superscript"/>
    </w:rPr>
  </w:style>
  <w:style w:type="paragraph" w:styleId="Listeavsnitt">
    <w:name w:val="List Paragraph"/>
    <w:basedOn w:val="Normal"/>
    <w:uiPriority w:val="34"/>
    <w:qFormat/>
    <w:rsid w:val="00D059B8"/>
    <w:pPr>
      <w:ind w:left="720"/>
      <w:contextualSpacing/>
    </w:pPr>
  </w:style>
  <w:style w:type="paragraph" w:styleId="Topptekst">
    <w:name w:val="header"/>
    <w:basedOn w:val="Normal"/>
    <w:link w:val="TopptekstTegn"/>
    <w:uiPriority w:val="99"/>
    <w:unhideWhenUsed/>
    <w:rsid w:val="00E049AC"/>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E049AC"/>
    <w:rPr>
      <w:rFonts w:eastAsiaTheme="minorEastAsia"/>
      <w:lang w:eastAsia="nb-NO"/>
    </w:rPr>
  </w:style>
  <w:style w:type="paragraph" w:styleId="Bunntekst">
    <w:name w:val="footer"/>
    <w:basedOn w:val="Normal"/>
    <w:link w:val="BunntekstTegn"/>
    <w:uiPriority w:val="99"/>
    <w:unhideWhenUsed/>
    <w:rsid w:val="00E049AC"/>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E049AC"/>
    <w:rPr>
      <w:rFonts w:eastAsiaTheme="minorEastAsia"/>
      <w:lang w:eastAsia="nb-NO"/>
    </w:rPr>
  </w:style>
  <w:style w:type="paragraph" w:styleId="Bobletekst">
    <w:name w:val="Balloon Text"/>
    <w:basedOn w:val="Normal"/>
    <w:link w:val="BobletekstTegn"/>
    <w:uiPriority w:val="99"/>
    <w:semiHidden/>
    <w:unhideWhenUsed/>
    <w:rsid w:val="000C3A5E"/>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0C3A5E"/>
    <w:rPr>
      <w:rFonts w:ascii="Tahoma" w:eastAsiaTheme="minorEastAsia" w:hAnsi="Tahoma" w:cs="Tahoma"/>
      <w:sz w:val="16"/>
      <w:szCs w:val="16"/>
      <w:lang w:eastAsia="nb-NO"/>
    </w:rPr>
  </w:style>
  <w:style w:type="character" w:customStyle="1" w:styleId="apple-converted-space">
    <w:name w:val="apple-converted-space"/>
    <w:basedOn w:val="Standardskriftforavsnitt"/>
    <w:rsid w:val="0054439C"/>
  </w:style>
  <w:style w:type="character" w:styleId="Hyperkobling">
    <w:name w:val="Hyperlink"/>
    <w:basedOn w:val="Standardskriftforavsnitt"/>
    <w:uiPriority w:val="99"/>
    <w:unhideWhenUsed/>
    <w:rsid w:val="00605F7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Fotnotetekst">
    <w:name w:val="footnote text"/>
    <w:basedOn w:val="Normal"/>
    <w:link w:val="FotnotetekstTegn"/>
    <w:uiPriority w:val="99"/>
    <w:semiHidden/>
    <w:unhideWhenUsed/>
    <w:rsid w:val="00D059B8"/>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D059B8"/>
    <w:rPr>
      <w:rFonts w:eastAsiaTheme="minorEastAsia"/>
      <w:sz w:val="20"/>
      <w:szCs w:val="20"/>
      <w:lang w:eastAsia="nb-NO"/>
    </w:rPr>
  </w:style>
  <w:style w:type="character" w:styleId="Fotnotereferanse">
    <w:name w:val="footnote reference"/>
    <w:basedOn w:val="Standardskriftforavsnitt"/>
    <w:uiPriority w:val="99"/>
    <w:semiHidden/>
    <w:unhideWhenUsed/>
    <w:rsid w:val="00D059B8"/>
    <w:rPr>
      <w:vertAlign w:val="superscript"/>
    </w:rPr>
  </w:style>
  <w:style w:type="paragraph" w:styleId="Listeavsnitt">
    <w:name w:val="List Paragraph"/>
    <w:basedOn w:val="Normal"/>
    <w:uiPriority w:val="34"/>
    <w:qFormat/>
    <w:rsid w:val="00D059B8"/>
    <w:pPr>
      <w:ind w:left="720"/>
      <w:contextualSpacing/>
    </w:pPr>
  </w:style>
  <w:style w:type="paragraph" w:styleId="Topptekst">
    <w:name w:val="header"/>
    <w:basedOn w:val="Normal"/>
    <w:link w:val="TopptekstTegn"/>
    <w:uiPriority w:val="99"/>
    <w:unhideWhenUsed/>
    <w:rsid w:val="00E049AC"/>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E049AC"/>
    <w:rPr>
      <w:rFonts w:eastAsiaTheme="minorEastAsia"/>
      <w:lang w:eastAsia="nb-NO"/>
    </w:rPr>
  </w:style>
  <w:style w:type="paragraph" w:styleId="Bunntekst">
    <w:name w:val="footer"/>
    <w:basedOn w:val="Normal"/>
    <w:link w:val="BunntekstTegn"/>
    <w:uiPriority w:val="99"/>
    <w:unhideWhenUsed/>
    <w:rsid w:val="00E049AC"/>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E049AC"/>
    <w:rPr>
      <w:rFonts w:eastAsiaTheme="minorEastAsia"/>
      <w:lang w:eastAsia="nb-NO"/>
    </w:rPr>
  </w:style>
  <w:style w:type="paragraph" w:styleId="Bobletekst">
    <w:name w:val="Balloon Text"/>
    <w:basedOn w:val="Normal"/>
    <w:link w:val="BobletekstTegn"/>
    <w:uiPriority w:val="99"/>
    <w:semiHidden/>
    <w:unhideWhenUsed/>
    <w:rsid w:val="000C3A5E"/>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0C3A5E"/>
    <w:rPr>
      <w:rFonts w:ascii="Tahoma" w:eastAsiaTheme="minorEastAsia" w:hAnsi="Tahoma" w:cs="Tahoma"/>
      <w:sz w:val="16"/>
      <w:szCs w:val="16"/>
      <w:lang w:eastAsia="nb-NO"/>
    </w:rPr>
  </w:style>
  <w:style w:type="character" w:customStyle="1" w:styleId="apple-converted-space">
    <w:name w:val="apple-converted-space"/>
    <w:basedOn w:val="Standardskriftforavsnitt"/>
    <w:rsid w:val="0054439C"/>
  </w:style>
  <w:style w:type="character" w:styleId="Hyperkobling">
    <w:name w:val="Hyperlink"/>
    <w:basedOn w:val="Standardskriftforavsnitt"/>
    <w:uiPriority w:val="99"/>
    <w:unhideWhenUsed/>
    <w:rsid w:val="00605F7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433</Words>
  <Characters>2301</Characters>
  <Application>Microsoft Office Word</Application>
  <DocSecurity>0</DocSecurity>
  <Lines>19</Lines>
  <Paragraphs>5</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NyLaptop</dc:creator>
  <cp:lastModifiedBy>Even</cp:lastModifiedBy>
  <cp:revision>3</cp:revision>
  <cp:lastPrinted>2014-10-09T09:51:00Z</cp:lastPrinted>
  <dcterms:created xsi:type="dcterms:W3CDTF">2014-10-11T19:48:00Z</dcterms:created>
  <dcterms:modified xsi:type="dcterms:W3CDTF">2014-11-10T14:30:00Z</dcterms:modified>
</cp:coreProperties>
</file>